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1F06" w:rsidRDefault="00611F06" w:rsidP="00FE60E6">
      <w:pPr>
        <w:pStyle w:val="Corpsdetexte"/>
        <w:rPr>
          <w:rFonts w:ascii="Times New Roman"/>
          <w:sz w:val="20"/>
        </w:rPr>
      </w:pPr>
    </w:p>
    <w:p w:rsidR="00611F06" w:rsidRDefault="00611F06" w:rsidP="00FE60E6">
      <w:pPr>
        <w:pStyle w:val="Corpsdetexte"/>
        <w:rPr>
          <w:rFonts w:ascii="Times New Roman"/>
          <w:sz w:val="20"/>
        </w:rPr>
      </w:pPr>
    </w:p>
    <w:p w:rsidR="00611F06" w:rsidRDefault="00611F06" w:rsidP="00FE60E6">
      <w:pPr>
        <w:pStyle w:val="Corpsdetexte"/>
        <w:rPr>
          <w:rFonts w:ascii="Times New Roman"/>
          <w:sz w:val="20"/>
        </w:rPr>
      </w:pPr>
    </w:p>
    <w:p w:rsidR="00611F06" w:rsidRDefault="00611F06" w:rsidP="00FE60E6">
      <w:pPr>
        <w:pStyle w:val="Corpsdetexte"/>
        <w:rPr>
          <w:rFonts w:ascii="Times New Roman"/>
          <w:sz w:val="20"/>
        </w:rPr>
      </w:pPr>
    </w:p>
    <w:p w:rsidR="00611F06" w:rsidRDefault="00611F06" w:rsidP="00FE60E6">
      <w:pPr>
        <w:pStyle w:val="Corpsdetexte"/>
        <w:rPr>
          <w:rFonts w:ascii="Times New Roman"/>
          <w:sz w:val="20"/>
        </w:rPr>
      </w:pPr>
    </w:p>
    <w:p w:rsidR="00611F06" w:rsidRDefault="00611F06" w:rsidP="00FE60E6">
      <w:pPr>
        <w:pStyle w:val="Corpsdetexte"/>
        <w:spacing w:before="6"/>
        <w:rPr>
          <w:rFonts w:ascii="Times New Roman"/>
        </w:rPr>
      </w:pPr>
    </w:p>
    <w:p w:rsidR="00611F06" w:rsidRDefault="00E82B1F" w:rsidP="00FE60E6">
      <w:pPr>
        <w:spacing w:before="45"/>
        <w:jc w:val="right"/>
        <w:rPr>
          <w:b/>
          <w:sz w:val="32"/>
        </w:rPr>
      </w:pPr>
      <w:r>
        <w:rPr>
          <w:noProof/>
        </w:rPr>
        <w:drawing>
          <wp:anchor distT="0" distB="0" distL="0" distR="0" simplePos="0" relativeHeight="15730688" behindDoc="0" locked="0" layoutInCell="1" allowOverlap="1">
            <wp:simplePos x="0" y="0"/>
            <wp:positionH relativeFrom="page">
              <wp:posOffset>504444</wp:posOffset>
            </wp:positionH>
            <wp:positionV relativeFrom="paragraph">
              <wp:posOffset>-859817</wp:posOffset>
            </wp:positionV>
            <wp:extent cx="935735" cy="1078992"/>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935735" cy="1078992"/>
                    </a:xfrm>
                    <a:prstGeom prst="rect">
                      <a:avLst/>
                    </a:prstGeom>
                  </pic:spPr>
                </pic:pic>
              </a:graphicData>
            </a:graphic>
          </wp:anchor>
        </w:drawing>
      </w:r>
      <w:r>
        <w:rPr>
          <w:b/>
          <w:sz w:val="32"/>
        </w:rPr>
        <w:t>SERVIÇO CONSULTIVO</w:t>
      </w:r>
    </w:p>
    <w:p w:rsidR="00611F06" w:rsidRDefault="00E82B1F" w:rsidP="00FE60E6">
      <w:pPr>
        <w:spacing w:before="3"/>
        <w:jc w:val="right"/>
        <w:rPr>
          <w:sz w:val="24"/>
        </w:rPr>
      </w:pPr>
      <w:r>
        <w:rPr>
          <w:sz w:val="24"/>
        </w:rPr>
        <w:t>SOBRE O DIREITO INTERNACIONAL HUMANITÁRIO</w:t>
      </w:r>
    </w:p>
    <w:p w:rsidR="00611F06" w:rsidRDefault="002332CA" w:rsidP="00FE60E6">
      <w:pPr>
        <w:pStyle w:val="Corpsdetexte"/>
        <w:spacing w:before="11"/>
      </w:pPr>
      <w:r>
        <w:pict>
          <v:shape id="_x0000_s1034" style="position:absolute;margin-left:315.5pt;margin-top:13.25pt;width:240.25pt;height:.1pt;z-index:-15728640;mso-wrap-distance-left:0;mso-wrap-distance-right:0;mso-position-horizontal-relative:page" coordorigin="6310,265" coordsize="4805,0" path="m6310,265r4804,e" filled="f" strokeweight=".26669mm">
            <v:path arrowok="t"/>
            <w10:wrap type="topAndBottom" anchorx="page"/>
          </v:shape>
        </w:pict>
      </w:r>
    </w:p>
    <w:p w:rsidR="00611F06" w:rsidRDefault="00611F06" w:rsidP="00FE60E6">
      <w:pPr>
        <w:pStyle w:val="Corpsdetexte"/>
        <w:spacing w:before="9"/>
        <w:rPr>
          <w:sz w:val="26"/>
        </w:rPr>
      </w:pPr>
    </w:p>
    <w:p w:rsidR="00611F06" w:rsidRDefault="00E82B1F" w:rsidP="002332CA">
      <w:pPr>
        <w:pStyle w:val="Titre"/>
        <w:ind w:left="1999" w:right="0" w:hanging="1999"/>
      </w:pPr>
      <w:r>
        <w:t>Pessoas deslocadas internamente e o direito internacional human</w:t>
      </w:r>
      <w:bookmarkStart w:id="0" w:name="_GoBack"/>
      <w:bookmarkEnd w:id="0"/>
      <w:r>
        <w:t>itário</w:t>
      </w:r>
    </w:p>
    <w:p w:rsidR="00611F06" w:rsidRDefault="00611F06" w:rsidP="00FE60E6">
      <w:pPr>
        <w:pStyle w:val="Corpsdetexte"/>
        <w:rPr>
          <w:b/>
          <w:sz w:val="20"/>
        </w:rPr>
      </w:pPr>
    </w:p>
    <w:p w:rsidR="00611F06" w:rsidRDefault="00611F06" w:rsidP="00FE60E6">
      <w:pPr>
        <w:pStyle w:val="Corpsdetexte"/>
        <w:rPr>
          <w:b/>
          <w:sz w:val="22"/>
        </w:rPr>
      </w:pPr>
    </w:p>
    <w:p w:rsidR="00611F06" w:rsidRDefault="00611F06" w:rsidP="00FE60E6">
      <w:pPr>
        <w:sectPr w:rsidR="00611F06">
          <w:type w:val="continuous"/>
          <w:pgSz w:w="11910" w:h="16840"/>
          <w:pgMar w:top="680" w:right="680" w:bottom="280" w:left="680" w:header="708" w:footer="708" w:gutter="0"/>
          <w:cols w:space="708"/>
        </w:sectPr>
      </w:pPr>
    </w:p>
    <w:p w:rsidR="00611F06" w:rsidRDefault="00E82B1F" w:rsidP="00FE60E6">
      <w:pPr>
        <w:pStyle w:val="Titre1"/>
        <w:spacing w:before="90"/>
        <w:ind w:left="0"/>
      </w:pPr>
      <w:r>
        <w:t>INTRODUÇÃO</w:t>
      </w:r>
    </w:p>
    <w:p w:rsidR="00611F06" w:rsidRDefault="00E82B1F" w:rsidP="00FE60E6">
      <w:pPr>
        <w:pStyle w:val="Corpsdetexte"/>
        <w:jc w:val="both"/>
      </w:pPr>
      <w:r>
        <w:t>O direito internacional humanitário (DIH) procura limitar os efeitos do conflito armado e proteger as pessoas que não participam, ou deixaram de participar em atos de hostilidade. As violações do DIH, tais como ataques a civis e maus-tratos aos mesmos, destruição de propriedade, violência sexual e acesso restrito a cuidados de saúde e a outros serviços essenciais, são algumas das principais causas que levam à deslocação. Enquanto deslocadas, estas comunidades lutam para satisfazer as necessidades essenciais em condições muito difíceis e podem enfrentar ameaças específicas, tais como tensão entre elas e as comunidades de acolhimento, fixação em locais inseguros ou inadequados e retorno forçado a áreas inseguras. O DIH contém disposições importantes para prevenir a deslocação de pessoas e o sofrimento que tal causa, e para proteção de pessoas que foram forçadas a fugir.</w:t>
      </w:r>
    </w:p>
    <w:p w:rsidR="00611F06" w:rsidRDefault="00611F06" w:rsidP="00FE60E6">
      <w:pPr>
        <w:pStyle w:val="Corpsdetexte"/>
        <w:spacing w:before="9"/>
        <w:rPr>
          <w:sz w:val="17"/>
        </w:rPr>
      </w:pPr>
    </w:p>
    <w:p w:rsidR="00611F06" w:rsidRDefault="00E82B1F" w:rsidP="00FE60E6">
      <w:pPr>
        <w:pStyle w:val="Titre1"/>
        <w:ind w:left="0"/>
      </w:pPr>
      <w:r>
        <w:t>Quem são as pessoas deslocadas internamente?</w:t>
      </w:r>
    </w:p>
    <w:p w:rsidR="00611F06" w:rsidRDefault="00E82B1F" w:rsidP="00FE60E6">
      <w:pPr>
        <w:pStyle w:val="Corpsdetexte"/>
        <w:jc w:val="both"/>
        <w:rPr>
          <w:sz w:val="23"/>
        </w:rPr>
      </w:pPr>
      <w:r>
        <w:t>A definição de pessoa deslocada internamente (PDI) mais geralmente usada provém dos Princípios Orientadores das Nações Unidas (ONU) sobre as Deslocações Internas. Os Princípios Orientadores designam as PDI como “pessoas ou grupos de pessoas que foram forçados ou obrigados a fugir ou abandonar as suas casas ou locais de residência habitual, sobretudo como resultado de/ou para evitar os efeitos do conflito armado, situações de violência generalizada, violações dos direitos humanos ou de catástrofes naturais ou de origem humana, e que não atravessaram uma fronteira estatal internacionalmente reconhecida."</w:t>
      </w:r>
      <w:r w:rsidR="005C1B4F">
        <w:rPr>
          <w:rStyle w:val="Appelnotedebasdep"/>
        </w:rPr>
        <w:footnoteReference w:id="1"/>
      </w:r>
    </w:p>
    <w:p w:rsidR="00611F06" w:rsidRDefault="00E82B1F" w:rsidP="00FE60E6">
      <w:pPr>
        <w:pStyle w:val="Titre1"/>
        <w:spacing w:before="90"/>
        <w:ind w:left="0"/>
      </w:pPr>
      <w:r>
        <w:br w:type="column"/>
      </w:r>
      <w:r>
        <w:t>Existe um instrumento internacional para proteger as PDI?</w:t>
      </w:r>
    </w:p>
    <w:p w:rsidR="00611F06" w:rsidRDefault="002332CA" w:rsidP="00FE60E6">
      <w:pPr>
        <w:pStyle w:val="Corpsdetexte"/>
        <w:jc w:val="both"/>
      </w:pPr>
      <w:r>
        <w:pict>
          <v:rect id="_x0000_s1032" style="position:absolute;left:0;text-align:left;margin-left:206.4pt;margin-top:-31.05pt;width:.7pt;height:557.75pt;z-index:15731200;mso-position-horizontal-relative:page" fillcolor="black" stroked="f">
            <w10:wrap anchorx="page"/>
          </v:rect>
        </w:pict>
      </w:r>
      <w:r w:rsidR="00E82B1F">
        <w:t>Não existe nenhum instrumento universal específico para responder à situação das PDI, mas em 1998 a Assembleia Geral das Nações Unidas e a Comissão das Nações Unidas para os Direitos Humanos tomou nota dos Princípios Orientadores sobre as Deslocações Internas. Embora estes Princípios Orientadores não constituam um instrumento vinculativo, receberam muito apoio por parte da comunidade internacional. Mais recentemente, em 2009, a União Africana adotou a Convenção de Kampala sobre as PDI.</w:t>
      </w:r>
      <w:r w:rsidR="005C1B4F">
        <w:rPr>
          <w:rStyle w:val="Appelnotedebasdep"/>
        </w:rPr>
        <w:footnoteReference w:id="2"/>
      </w:r>
      <w:r w:rsidR="00E82B1F">
        <w:t xml:space="preserve"> Este instrumento regional é um passo importante para a proteção e assistência às PDI num dos continentes mais afetados pela deslocação.</w:t>
      </w:r>
    </w:p>
    <w:p w:rsidR="00611F06" w:rsidRDefault="00611F06" w:rsidP="00FE60E6">
      <w:pPr>
        <w:pStyle w:val="Corpsdetexte"/>
        <w:spacing w:before="5"/>
        <w:rPr>
          <w:sz w:val="17"/>
        </w:rPr>
      </w:pPr>
    </w:p>
    <w:p w:rsidR="00611F06" w:rsidRDefault="00E82B1F" w:rsidP="00FE60E6">
      <w:pPr>
        <w:pStyle w:val="Titre1"/>
        <w:ind w:left="0"/>
        <w:jc w:val="both"/>
      </w:pPr>
      <w:r>
        <w:t>Como é que o DIH protege as PDI?</w:t>
      </w:r>
    </w:p>
    <w:p w:rsidR="00611F06" w:rsidRDefault="00E82B1F" w:rsidP="00FE60E6">
      <w:pPr>
        <w:pStyle w:val="Corpsdetexte"/>
        <w:jc w:val="both"/>
      </w:pPr>
      <w:r>
        <w:t>O DIH contém muitas disposições relativas à prevenção da deslocação e à proteção das PDI, sobretudo na Convenção de Genebra IV (CG IV) e nos Protocolos Adicionais I e II (PA I e PA II), bem como no direito internacional consuetudinário. Os estados têm a responsabilidade de implementar estas proteções no seu quadro legal interno. As disposições seguintes devem ser consideradas aquando da promulgação de legislação nacional:</w:t>
      </w:r>
    </w:p>
    <w:p w:rsidR="00611F06" w:rsidRDefault="00611F06" w:rsidP="00FE60E6">
      <w:pPr>
        <w:pStyle w:val="Corpsdetexte"/>
        <w:spacing w:before="6"/>
        <w:rPr>
          <w:sz w:val="17"/>
        </w:rPr>
      </w:pPr>
    </w:p>
    <w:p w:rsidR="00611F06" w:rsidRDefault="00E82B1F" w:rsidP="00FE60E6">
      <w:pPr>
        <w:pStyle w:val="Titre1"/>
        <w:spacing w:before="1"/>
        <w:ind w:left="0"/>
        <w:jc w:val="both"/>
      </w:pPr>
      <w:r>
        <w:t>…Proibição de deslocação e direito ao regresso voluntário</w:t>
      </w:r>
    </w:p>
    <w:p w:rsidR="00611F06" w:rsidRDefault="00E82B1F" w:rsidP="00FE60E6">
      <w:pPr>
        <w:pStyle w:val="Corpsdetexte"/>
        <w:tabs>
          <w:tab w:val="left" w:pos="1265"/>
          <w:tab w:val="left" w:pos="2459"/>
        </w:tabs>
        <w:jc w:val="both"/>
      </w:pPr>
      <w:r>
        <w:t>Em termos gerais, a prevenção de violações do DIH deve levar a uma redução das PDI como resultado de conflito armado.</w:t>
      </w:r>
      <w:r>
        <w:tab/>
        <w:t>A deslocação forçada é proibida, quer dentro das fronteiras de um país, quer atravessando as fronteiras internacionais.</w:t>
      </w:r>
    </w:p>
    <w:p w:rsidR="00611F06" w:rsidRDefault="002332CA" w:rsidP="00FE60E6">
      <w:pPr>
        <w:pStyle w:val="Corpsdetexte"/>
        <w:spacing w:before="4"/>
        <w:rPr>
          <w:sz w:val="15"/>
        </w:rPr>
      </w:pPr>
      <w:r>
        <w:pict>
          <v:rect id="_x0000_s1031" style="position:absolute;margin-left:224.4pt;margin-top:10.8pt;width:2in;height:.6pt;z-index:-15727616;mso-wrap-distance-left:0;mso-wrap-distance-right:0;mso-position-horizontal-relative:page" fillcolor="black" stroked="f">
            <w10:wrap type="topAndBottom" anchorx="page"/>
          </v:rect>
        </w:pict>
      </w:r>
    </w:p>
    <w:p w:rsidR="00611F06" w:rsidRDefault="00E82B1F" w:rsidP="00FE60E6">
      <w:pPr>
        <w:pStyle w:val="Corpsdetexte"/>
        <w:spacing w:before="94"/>
        <w:jc w:val="both"/>
        <w:rPr>
          <w:i/>
          <w:sz w:val="16"/>
        </w:rPr>
      </w:pPr>
      <w:r>
        <w:t xml:space="preserve">A deslocação de civis pode ser considerada, excecional e temporariamente, quando tal for justificado por motivos da sua segurança, ou for uma necessidade militar imperativa. As PDI devem poder regressar à sua área de origem, logo que as preocupações de segurança na área afetada deixem de se verificar. </w:t>
      </w:r>
      <w:r>
        <w:rPr>
          <w:i/>
          <w:sz w:val="16"/>
        </w:rPr>
        <w:t>CG IV art. 49 e 147, PA I art. 51(7), 78(1) e</w:t>
      </w:r>
    </w:p>
    <w:p w:rsidR="00611F06" w:rsidRDefault="002332CA" w:rsidP="00FE60E6">
      <w:pPr>
        <w:spacing w:line="204" w:lineRule="exact"/>
        <w:jc w:val="both"/>
        <w:rPr>
          <w:i/>
          <w:sz w:val="18"/>
        </w:rPr>
      </w:pPr>
      <w:r>
        <w:pict>
          <v:rect id="_x0000_s1030" style="position:absolute;left:0;text-align:left;margin-left:388.3pt;margin-top:-102.3pt;width:.7pt;height:557.75pt;z-index:15731712;mso-position-horizontal-relative:page" fillcolor="black" stroked="f">
            <w10:wrap anchorx="page"/>
          </v:rect>
        </w:pict>
      </w:r>
      <w:r w:rsidR="00E82B1F">
        <w:rPr>
          <w:i/>
          <w:sz w:val="16"/>
        </w:rPr>
        <w:t>85(4)(a) PA II   art. 4(3)(e) e 17</w:t>
      </w:r>
      <w:r w:rsidR="00E82B1F">
        <w:rPr>
          <w:i/>
          <w:sz w:val="18"/>
        </w:rPr>
        <w:t>,</w:t>
      </w:r>
    </w:p>
    <w:p w:rsidR="00611F06" w:rsidRDefault="00E82B1F" w:rsidP="00FE60E6">
      <w:pPr>
        <w:jc w:val="both"/>
        <w:rPr>
          <w:i/>
          <w:sz w:val="16"/>
        </w:rPr>
      </w:pPr>
      <w:r>
        <w:rPr>
          <w:sz w:val="16"/>
        </w:rPr>
        <w:t>Direito Internacional Humanitário Consuetudinário</w:t>
      </w:r>
      <w:r>
        <w:rPr>
          <w:i/>
          <w:sz w:val="16"/>
        </w:rPr>
        <w:t xml:space="preserve"> (DIHC)</w:t>
      </w:r>
      <w:r>
        <w:rPr>
          <w:sz w:val="16"/>
          <w:vertAlign w:val="superscript"/>
        </w:rPr>
        <w:t>3</w:t>
      </w:r>
      <w:r>
        <w:rPr>
          <w:sz w:val="16"/>
        </w:rPr>
        <w:t xml:space="preserve"> </w:t>
      </w:r>
      <w:r>
        <w:rPr>
          <w:i/>
          <w:sz w:val="16"/>
        </w:rPr>
        <w:t>regras 129 e 132.</w:t>
      </w:r>
    </w:p>
    <w:p w:rsidR="00611F06" w:rsidRDefault="00611F06" w:rsidP="00FE60E6">
      <w:pPr>
        <w:pStyle w:val="Corpsdetexte"/>
        <w:spacing w:before="10"/>
        <w:rPr>
          <w:i/>
          <w:sz w:val="17"/>
        </w:rPr>
      </w:pPr>
    </w:p>
    <w:p w:rsidR="00611F06" w:rsidRDefault="00E82B1F" w:rsidP="00FE60E6">
      <w:pPr>
        <w:pStyle w:val="Titre1"/>
        <w:ind w:left="0"/>
      </w:pPr>
      <w:r>
        <w:t>…Não discriminação</w:t>
      </w:r>
    </w:p>
    <w:p w:rsidR="00611F06" w:rsidRDefault="00E82B1F" w:rsidP="00FE60E6">
      <w:pPr>
        <w:pStyle w:val="Corpsdetexte"/>
        <w:jc w:val="both"/>
        <w:rPr>
          <w:i/>
          <w:sz w:val="16"/>
        </w:rPr>
      </w:pPr>
      <w:r>
        <w:t xml:space="preserve">Devido ao facto de estarem deslocadas, as PDI sofrem de vulnerabilidades especiais. As PDI devem ser tratadas de forma humana e não devem ser discriminadas com base na sua deslocação, nem por qualquer outro motivo. É importante que nada na legislação atual distinga as PDI para receber um tratamento menos favorável do que o resto da população. As pessoas protegidas devem ser tratadas com a mesma consideração, sem qualquer distinção prejudicial. </w:t>
      </w:r>
      <w:r>
        <w:rPr>
          <w:i/>
          <w:sz w:val="16"/>
        </w:rPr>
        <w:t>CG IV art. 3 e 27, PA I art. 75 e PA II art. 2(1) e 4(1), DIHC regras 87 e 88.</w:t>
      </w:r>
    </w:p>
    <w:p w:rsidR="00611F06" w:rsidRDefault="00611F06" w:rsidP="00FE60E6">
      <w:pPr>
        <w:pStyle w:val="Corpsdetexte"/>
        <w:spacing w:before="7"/>
        <w:rPr>
          <w:i/>
          <w:sz w:val="17"/>
        </w:rPr>
      </w:pPr>
    </w:p>
    <w:p w:rsidR="00611F06" w:rsidRDefault="00E82B1F" w:rsidP="00FE60E6">
      <w:pPr>
        <w:pStyle w:val="Titre1"/>
        <w:ind w:left="0"/>
      </w:pPr>
      <w:r>
        <w:t>…Proteção como parte da população civil</w:t>
      </w:r>
    </w:p>
    <w:p w:rsidR="00611F06" w:rsidRDefault="00E82B1F" w:rsidP="00FE60E6">
      <w:pPr>
        <w:pStyle w:val="Corpsdetexte"/>
        <w:jc w:val="both"/>
        <w:rPr>
          <w:i/>
          <w:sz w:val="16"/>
        </w:rPr>
      </w:pPr>
      <w:r>
        <w:t xml:space="preserve">As PDI fazem parte da população civil e, como tal, têm direito às mesmas proteções dadas a todos os civis. </w:t>
      </w:r>
      <w:r>
        <w:rPr>
          <w:i/>
          <w:sz w:val="16"/>
        </w:rPr>
        <w:t>CG IV, em especial os</w:t>
      </w:r>
      <w:r>
        <w:t xml:space="preserve"> </w:t>
      </w:r>
      <w:r>
        <w:rPr>
          <w:i/>
          <w:sz w:val="16"/>
        </w:rPr>
        <w:t>art. 4 e</w:t>
      </w:r>
    </w:p>
    <w:p w:rsidR="00611F06" w:rsidRDefault="00E82B1F" w:rsidP="00FE60E6">
      <w:pPr>
        <w:spacing w:before="2" w:line="237" w:lineRule="auto"/>
        <w:jc w:val="both"/>
        <w:rPr>
          <w:sz w:val="16"/>
        </w:rPr>
      </w:pPr>
      <w:r>
        <w:rPr>
          <w:i/>
          <w:sz w:val="16"/>
        </w:rPr>
        <w:t>27</w:t>
      </w:r>
      <w:r>
        <w:rPr>
          <w:sz w:val="18"/>
        </w:rPr>
        <w:t xml:space="preserve">. </w:t>
      </w:r>
      <w:r w:rsidRPr="00C3688D">
        <w:rPr>
          <w:sz w:val="18"/>
          <w:szCs w:val="18"/>
        </w:rPr>
        <w:t>Outras disposições importantes são</w:t>
      </w:r>
      <w:r>
        <w:rPr>
          <w:sz w:val="18"/>
        </w:rPr>
        <w:t xml:space="preserve"> </w:t>
      </w:r>
      <w:r>
        <w:rPr>
          <w:sz w:val="16"/>
        </w:rPr>
        <w:t xml:space="preserve">o </w:t>
      </w:r>
      <w:r>
        <w:rPr>
          <w:i/>
          <w:iCs/>
          <w:sz w:val="16"/>
        </w:rPr>
        <w:t>PA</w:t>
      </w:r>
      <w:r>
        <w:rPr>
          <w:i/>
          <w:sz w:val="16"/>
        </w:rPr>
        <w:t xml:space="preserve"> I art. 51 e 75, e PA II art. 4 e 5, DIHC regras 1 e 7</w:t>
      </w:r>
      <w:r>
        <w:rPr>
          <w:sz w:val="16"/>
        </w:rPr>
        <w:t>.</w:t>
      </w:r>
    </w:p>
    <w:p w:rsidR="00611F06" w:rsidRDefault="00611F06" w:rsidP="00FE60E6">
      <w:pPr>
        <w:pStyle w:val="Corpsdetexte"/>
        <w:spacing w:before="10"/>
        <w:rPr>
          <w:sz w:val="15"/>
        </w:rPr>
      </w:pPr>
    </w:p>
    <w:p w:rsidR="00611F06" w:rsidRDefault="00E82B1F" w:rsidP="00FE60E6">
      <w:pPr>
        <w:pStyle w:val="Titre1"/>
        <w:ind w:left="0"/>
      </w:pPr>
      <w:r>
        <w:t>…O direito à vida, à dignidade e à liberdade</w:t>
      </w:r>
    </w:p>
    <w:p w:rsidR="00611F06" w:rsidRDefault="00E82B1F" w:rsidP="00FE60E6">
      <w:pPr>
        <w:jc w:val="both"/>
        <w:rPr>
          <w:sz w:val="18"/>
        </w:rPr>
      </w:pPr>
      <w:r>
        <w:rPr>
          <w:sz w:val="18"/>
        </w:rPr>
        <w:t xml:space="preserve">A vida e a dignidade das PDI devem ser respeitadas. </w:t>
      </w:r>
      <w:r>
        <w:rPr>
          <w:sz w:val="16"/>
        </w:rPr>
        <w:t>CG</w:t>
      </w:r>
      <w:r>
        <w:rPr>
          <w:i/>
          <w:sz w:val="16"/>
        </w:rPr>
        <w:t xml:space="preserve"> IV art. 3, 27 e 32, PA I art. 75(2) e PA II art. 4</w:t>
      </w:r>
      <w:r>
        <w:rPr>
          <w:sz w:val="16"/>
        </w:rPr>
        <w:t xml:space="preserve">. </w:t>
      </w:r>
      <w:r>
        <w:rPr>
          <w:sz w:val="18"/>
        </w:rPr>
        <w:t>Tal como sucede com todos</w:t>
      </w:r>
    </w:p>
    <w:p w:rsidR="00611F06" w:rsidRDefault="002332CA" w:rsidP="00FE60E6">
      <w:pPr>
        <w:pStyle w:val="Corpsdetexte"/>
        <w:spacing w:before="5"/>
        <w:rPr>
          <w:sz w:val="9"/>
        </w:rPr>
      </w:pPr>
      <w:r>
        <w:pict>
          <v:rect id="_x0000_s1029" style="position:absolute;margin-left:406.3pt;margin-top:7.4pt;width:2in;height:.6pt;z-index:-15727104;mso-wrap-distance-left:0;mso-wrap-distance-right:0;mso-position-horizontal-relative:page" fillcolor="black" stroked="f">
            <w10:wrap type="topAndBottom" anchorx="page"/>
          </v:rect>
        </w:pict>
      </w:r>
    </w:p>
    <w:p w:rsidR="00611F06" w:rsidRDefault="00E82B1F" w:rsidP="00FE60E6">
      <w:pPr>
        <w:spacing w:before="59"/>
        <w:rPr>
          <w:rFonts w:ascii="Times New Roman"/>
          <w:sz w:val="16"/>
        </w:rPr>
      </w:pPr>
      <w:r>
        <w:rPr>
          <w:rFonts w:ascii="Times New Roman"/>
          <w:sz w:val="16"/>
          <w:vertAlign w:val="superscript"/>
        </w:rPr>
        <w:t>3</w:t>
      </w:r>
      <w:r>
        <w:rPr>
          <w:rFonts w:ascii="Times New Roman"/>
          <w:sz w:val="16"/>
        </w:rPr>
        <w:t xml:space="preserve"> CICV, </w:t>
      </w:r>
      <w:r>
        <w:rPr>
          <w:rFonts w:ascii="Times New Roman"/>
          <w:i/>
          <w:sz w:val="16"/>
        </w:rPr>
        <w:t>Direito Internacional Humanit</w:t>
      </w:r>
      <w:r>
        <w:rPr>
          <w:rFonts w:ascii="Times New Roman"/>
          <w:i/>
          <w:sz w:val="16"/>
        </w:rPr>
        <w:t>á</w:t>
      </w:r>
      <w:r>
        <w:rPr>
          <w:rFonts w:ascii="Times New Roman"/>
          <w:i/>
          <w:sz w:val="16"/>
        </w:rPr>
        <w:t>rio Consuetudin</w:t>
      </w:r>
      <w:r>
        <w:rPr>
          <w:rFonts w:ascii="Times New Roman"/>
          <w:i/>
          <w:sz w:val="16"/>
        </w:rPr>
        <w:t>á</w:t>
      </w:r>
      <w:r>
        <w:rPr>
          <w:rFonts w:ascii="Times New Roman"/>
          <w:i/>
          <w:sz w:val="16"/>
        </w:rPr>
        <w:t>rio</w:t>
      </w:r>
      <w:r>
        <w:rPr>
          <w:rFonts w:ascii="Times New Roman"/>
          <w:sz w:val="16"/>
        </w:rPr>
        <w:t>, Henckaerts, Jean-Marie e Louise Doswald-Beck, ICRC-Cambridge University Press, Reino Unido, 2009, terceira edi</w:t>
      </w:r>
      <w:r>
        <w:rPr>
          <w:rFonts w:ascii="Times New Roman"/>
          <w:sz w:val="16"/>
        </w:rPr>
        <w:t>çã</w:t>
      </w:r>
      <w:r>
        <w:rPr>
          <w:rFonts w:ascii="Times New Roman"/>
          <w:sz w:val="16"/>
        </w:rPr>
        <w:t>o.</w:t>
      </w:r>
    </w:p>
    <w:p w:rsidR="00611F06" w:rsidRDefault="00611F06" w:rsidP="00FE60E6">
      <w:pPr>
        <w:rPr>
          <w:rFonts w:ascii="Times New Roman"/>
          <w:sz w:val="16"/>
        </w:rPr>
        <w:sectPr w:rsidR="00611F06">
          <w:type w:val="continuous"/>
          <w:pgSz w:w="11910" w:h="16840"/>
          <w:pgMar w:top="680" w:right="680" w:bottom="280" w:left="680" w:header="708" w:footer="708" w:gutter="0"/>
          <w:cols w:num="3" w:space="708" w:equalWidth="0">
            <w:col w:w="3145" w:space="491"/>
            <w:col w:w="3144" w:space="494"/>
            <w:col w:w="3276"/>
          </w:cols>
        </w:sectPr>
      </w:pPr>
    </w:p>
    <w:p w:rsidR="00611F06" w:rsidRDefault="002332CA" w:rsidP="00FE60E6">
      <w:pPr>
        <w:spacing w:before="82" w:line="237" w:lineRule="auto"/>
        <w:jc w:val="both"/>
        <w:rPr>
          <w:sz w:val="16"/>
        </w:rPr>
      </w:pPr>
      <w:r>
        <w:lastRenderedPageBreak/>
        <w:pict>
          <v:rect id="_x0000_s1028" style="position:absolute;left:0;text-align:left;margin-left:206.4pt;margin-top:56.95pt;width:.7pt;height:742.7pt;z-index:15732736;mso-position-horizontal-relative:page;mso-position-vertical-relative:page" fillcolor="black" stroked="f">
            <w10:wrap anchorx="page" anchory="page"/>
          </v:rect>
        </w:pict>
      </w:r>
      <w:r>
        <w:pict>
          <v:rect id="_x0000_s1027" style="position:absolute;left:0;text-align:left;margin-left:388.3pt;margin-top:56.95pt;width:.7pt;height:742.7pt;z-index:15733248;mso-position-horizontal-relative:page;mso-position-vertical-relative:page" fillcolor="black" stroked="f">
            <w10:wrap anchorx="page" anchory="page"/>
          </v:rect>
        </w:pict>
      </w:r>
      <w:r w:rsidR="00E82B1F">
        <w:rPr>
          <w:sz w:val="18"/>
        </w:rPr>
        <w:t xml:space="preserve">os civis, não devem ser alvo de ataque, salvo se participarem diretamente em atos de hostilidade. </w:t>
      </w:r>
      <w:r w:rsidR="00E82B1F">
        <w:rPr>
          <w:i/>
          <w:iCs/>
          <w:sz w:val="16"/>
        </w:rPr>
        <w:t>PA</w:t>
      </w:r>
      <w:r w:rsidR="00E82B1F">
        <w:rPr>
          <w:i/>
          <w:sz w:val="16"/>
        </w:rPr>
        <w:t xml:space="preserve"> I art. 51 e PA II art. 13 e DIHC regras 1 e 7</w:t>
      </w:r>
      <w:r w:rsidR="00E82B1F">
        <w:rPr>
          <w:sz w:val="16"/>
        </w:rPr>
        <w:t>.</w:t>
      </w:r>
    </w:p>
    <w:p w:rsidR="00611F06" w:rsidRDefault="00E82B1F" w:rsidP="00FE60E6">
      <w:pPr>
        <w:spacing w:before="7" w:line="237" w:lineRule="auto"/>
        <w:jc w:val="both"/>
        <w:rPr>
          <w:i/>
          <w:sz w:val="16"/>
        </w:rPr>
      </w:pPr>
      <w:r w:rsidRPr="002828CF">
        <w:rPr>
          <w:sz w:val="18"/>
        </w:rPr>
        <w:t>Não devem ser alvo de castigos coletivos, CG</w:t>
      </w:r>
      <w:r>
        <w:rPr>
          <w:i/>
          <w:sz w:val="16"/>
        </w:rPr>
        <w:t xml:space="preserve"> IV art. 32, PA I Art 75(2) e PA II art. 4 (2.b), DIHC</w:t>
      </w:r>
    </w:p>
    <w:p w:rsidR="00611F06" w:rsidRDefault="00E82B1F" w:rsidP="00FE60E6">
      <w:pPr>
        <w:spacing w:before="4" w:line="205" w:lineRule="exact"/>
        <w:jc w:val="both"/>
        <w:rPr>
          <w:sz w:val="18"/>
        </w:rPr>
      </w:pPr>
      <w:r>
        <w:rPr>
          <w:i/>
          <w:sz w:val="16"/>
        </w:rPr>
        <w:t>regra 103</w:t>
      </w:r>
      <w:r>
        <w:rPr>
          <w:sz w:val="18"/>
        </w:rPr>
        <w:t>, nem ser usadas como escudos humanos,</w:t>
      </w:r>
    </w:p>
    <w:p w:rsidR="00611F06" w:rsidRDefault="00E82B1F" w:rsidP="00FE60E6">
      <w:pPr>
        <w:spacing w:line="182" w:lineRule="exact"/>
        <w:jc w:val="both"/>
        <w:rPr>
          <w:i/>
          <w:sz w:val="16"/>
        </w:rPr>
      </w:pPr>
      <w:r>
        <w:rPr>
          <w:i/>
          <w:sz w:val="16"/>
        </w:rPr>
        <w:t>CG IV art. 28, PA I art. 51(7) e PA II</w:t>
      </w:r>
    </w:p>
    <w:p w:rsidR="00611F06" w:rsidRDefault="00E82B1F" w:rsidP="00FE60E6">
      <w:pPr>
        <w:spacing w:before="6" w:line="237" w:lineRule="auto"/>
        <w:jc w:val="both"/>
        <w:rPr>
          <w:i/>
          <w:sz w:val="16"/>
        </w:rPr>
      </w:pPr>
      <w:r>
        <w:rPr>
          <w:i/>
          <w:sz w:val="16"/>
        </w:rPr>
        <w:t>art. 5 (2.c), DIHC regra 97</w:t>
      </w:r>
      <w:r>
        <w:rPr>
          <w:sz w:val="18"/>
        </w:rPr>
        <w:t xml:space="preserve">, nem tomadas como reféns </w:t>
      </w:r>
      <w:r>
        <w:t>CG</w:t>
      </w:r>
      <w:r>
        <w:rPr>
          <w:i/>
          <w:sz w:val="16"/>
        </w:rPr>
        <w:t xml:space="preserve"> IV 34 e 147, PA I art. 75(2.C) e PA II art. 4 (2.c), DIHC regra</w:t>
      </w:r>
    </w:p>
    <w:p w:rsidR="00611F06" w:rsidRDefault="00E82B1F" w:rsidP="00FE60E6">
      <w:pPr>
        <w:spacing w:before="3"/>
        <w:jc w:val="both"/>
        <w:rPr>
          <w:sz w:val="18"/>
        </w:rPr>
      </w:pPr>
      <w:r>
        <w:rPr>
          <w:i/>
          <w:sz w:val="16"/>
        </w:rPr>
        <w:t>96</w:t>
      </w:r>
      <w:r>
        <w:rPr>
          <w:sz w:val="18"/>
        </w:rPr>
        <w:t xml:space="preserve">. Além disso, o seu bem-estar físico e mental deve ser protegido. </w:t>
      </w:r>
      <w:r>
        <w:t>PA</w:t>
      </w:r>
      <w:r>
        <w:rPr>
          <w:i/>
          <w:sz w:val="16"/>
        </w:rPr>
        <w:t xml:space="preserve"> I art. 75(2)(a) e PA II art. 4(2)(a e c), DIHC regras 90 a 93</w:t>
      </w:r>
      <w:r>
        <w:rPr>
          <w:sz w:val="18"/>
        </w:rPr>
        <w:t>.</w:t>
      </w:r>
    </w:p>
    <w:p w:rsidR="00611F06" w:rsidRDefault="00611F06" w:rsidP="00FE60E6">
      <w:pPr>
        <w:pStyle w:val="Corpsdetexte"/>
        <w:spacing w:before="1"/>
      </w:pPr>
    </w:p>
    <w:p w:rsidR="00611F06" w:rsidRDefault="00E82B1F" w:rsidP="00FE60E6">
      <w:pPr>
        <w:pStyle w:val="Corpsdetexte"/>
        <w:jc w:val="both"/>
      </w:pPr>
      <w:r>
        <w:t>Tal como sucede com a deslocação forçada, o internamento em campos ou a atribuição de residência a PDIs apenas pode ser efetuada por motivos de segurança imperativos. CG</w:t>
      </w:r>
      <w:r>
        <w:rPr>
          <w:i/>
          <w:sz w:val="16"/>
        </w:rPr>
        <w:t xml:space="preserve"> IV art. 78</w:t>
      </w:r>
      <w:r>
        <w:t xml:space="preserve">. Em conflitos armados não internacionais, a prisão ou detenção </w:t>
      </w:r>
      <w:r>
        <w:rPr>
          <w:i/>
        </w:rPr>
        <w:t xml:space="preserve">arbitrária </w:t>
      </w:r>
      <w:r>
        <w:t xml:space="preserve">são proibidas em qualquer situação. </w:t>
      </w:r>
      <w:r>
        <w:rPr>
          <w:i/>
          <w:sz w:val="16"/>
        </w:rPr>
        <w:t xml:space="preserve">PA II art. 5(1), DIHC regra 99. </w:t>
      </w:r>
      <w:r>
        <w:t>As pessoas deslocadas internamente devem ter o direito de se deslocar livremente, dentro e fora dos campos ou outras instalações.</w:t>
      </w:r>
    </w:p>
    <w:p w:rsidR="00611F06" w:rsidRDefault="00611F06" w:rsidP="00FE60E6">
      <w:pPr>
        <w:pStyle w:val="Corpsdetexte"/>
        <w:spacing w:before="7"/>
        <w:rPr>
          <w:sz w:val="17"/>
        </w:rPr>
      </w:pPr>
    </w:p>
    <w:p w:rsidR="00611F06" w:rsidRDefault="00E82B1F" w:rsidP="00FE60E6">
      <w:pPr>
        <w:pStyle w:val="Titre1"/>
        <w:ind w:left="0"/>
        <w:jc w:val="both"/>
      </w:pPr>
      <w:r>
        <w:t>…Padrões de vida e assistência humanitária</w:t>
      </w:r>
    </w:p>
    <w:p w:rsidR="00611F06" w:rsidRDefault="00E82B1F" w:rsidP="00FE60E6">
      <w:pPr>
        <w:pStyle w:val="Corpsdetexte"/>
        <w:jc w:val="both"/>
      </w:pPr>
      <w:r>
        <w:t>Em caso de deslocações devem ser tomadas todas as medidas necessárias para que as condições de higiene, saúde, nutrição e habitação das PDI sejam satisfatórias. CG</w:t>
      </w:r>
      <w:r>
        <w:rPr>
          <w:i/>
          <w:sz w:val="16"/>
        </w:rPr>
        <w:t xml:space="preserve"> IV art. 49(3) PA II art. 17(1) DIHC 131</w:t>
      </w:r>
      <w:r>
        <w:t>. O incumprimento</w:t>
      </w:r>
    </w:p>
    <w:p w:rsidR="00611F06" w:rsidRDefault="00E82B1F" w:rsidP="00FE60E6">
      <w:pPr>
        <w:jc w:val="both"/>
        <w:rPr>
          <w:i/>
          <w:sz w:val="16"/>
        </w:rPr>
      </w:pPr>
      <w:r>
        <w:t>destes requisitos pode constituir uma violação grave.</w:t>
      </w:r>
      <w:r>
        <w:rPr>
          <w:sz w:val="16"/>
        </w:rPr>
        <w:t xml:space="preserve"> </w:t>
      </w:r>
      <w:r>
        <w:rPr>
          <w:i/>
          <w:sz w:val="16"/>
        </w:rPr>
        <w:t>CG IV art. 147, PA I art. 85(4)(a).</w:t>
      </w:r>
    </w:p>
    <w:p w:rsidR="00611F06" w:rsidRDefault="00611F06" w:rsidP="00FE60E6">
      <w:pPr>
        <w:pStyle w:val="Corpsdetexte"/>
        <w:spacing w:before="9"/>
        <w:rPr>
          <w:i/>
          <w:sz w:val="17"/>
        </w:rPr>
      </w:pPr>
    </w:p>
    <w:p w:rsidR="00611F06" w:rsidRDefault="00E82B1F" w:rsidP="00FE60E6">
      <w:pPr>
        <w:spacing w:before="1"/>
        <w:jc w:val="both"/>
        <w:rPr>
          <w:sz w:val="16"/>
        </w:rPr>
      </w:pPr>
      <w:r>
        <w:rPr>
          <w:sz w:val="18"/>
        </w:rPr>
        <w:t xml:space="preserve">Em situações de conflito armado, o ataque a produtos alimentares, culturas, gado, provisões de água potável ou trabalhos de irrigação é proibido. </w:t>
      </w:r>
      <w:r>
        <w:rPr>
          <w:sz w:val="16"/>
        </w:rPr>
        <w:t>PA</w:t>
      </w:r>
      <w:r>
        <w:rPr>
          <w:i/>
          <w:sz w:val="16"/>
        </w:rPr>
        <w:t xml:space="preserve"> I art. 54 e 56, PA II art. 14, DIHC regra 54.</w:t>
      </w:r>
    </w:p>
    <w:p w:rsidR="00611F06" w:rsidRDefault="00E82B1F" w:rsidP="00FE60E6">
      <w:pPr>
        <w:spacing w:before="1"/>
        <w:jc w:val="both"/>
        <w:rPr>
          <w:sz w:val="16"/>
        </w:rPr>
      </w:pPr>
      <w:r>
        <w:rPr>
          <w:sz w:val="18"/>
        </w:rPr>
        <w:t xml:space="preserve">As forças ocupantes são responsáveis por assegurar que a população local tem produtos alimentares. </w:t>
      </w:r>
      <w:r>
        <w:rPr>
          <w:i/>
        </w:rPr>
        <w:t>CG</w:t>
      </w:r>
      <w:r>
        <w:rPr>
          <w:i/>
          <w:sz w:val="16"/>
        </w:rPr>
        <w:t xml:space="preserve"> IV art. 55</w:t>
      </w:r>
      <w:r>
        <w:rPr>
          <w:i/>
          <w:sz w:val="18"/>
        </w:rPr>
        <w:t xml:space="preserve">. </w:t>
      </w:r>
      <w:r>
        <w:rPr>
          <w:sz w:val="18"/>
        </w:rPr>
        <w:t xml:space="preserve">A fome como método de guerra constitui um crime de guerra. </w:t>
      </w:r>
      <w:r>
        <w:rPr>
          <w:i/>
          <w:iCs/>
          <w:sz w:val="16"/>
        </w:rPr>
        <w:t>PA</w:t>
      </w:r>
      <w:r>
        <w:rPr>
          <w:i/>
          <w:sz w:val="16"/>
        </w:rPr>
        <w:t xml:space="preserve"> I art. 54(1) PA II art. 14, Estatuto do Tribunal Penal Internacional (TPI), art. 8 (2) (b) (xxv), DIHC regra 53</w:t>
      </w:r>
      <w:r>
        <w:rPr>
          <w:sz w:val="16"/>
        </w:rPr>
        <w:t>.</w:t>
      </w:r>
    </w:p>
    <w:p w:rsidR="00611F06" w:rsidRDefault="00611F06" w:rsidP="00FE60E6">
      <w:pPr>
        <w:pStyle w:val="Corpsdetexte"/>
      </w:pPr>
    </w:p>
    <w:p w:rsidR="00611F06" w:rsidRDefault="00E82B1F" w:rsidP="00FE60E6">
      <w:pPr>
        <w:jc w:val="both"/>
        <w:rPr>
          <w:sz w:val="18"/>
        </w:rPr>
      </w:pPr>
      <w:r>
        <w:rPr>
          <w:sz w:val="18"/>
        </w:rPr>
        <w:t xml:space="preserve">Durante os conflitos armados, os estados devem cumprir a sua obrigação de assegurar o mais alto nível possível de saúde física e mental, prestando cuidados médicos aos feridos e doentes </w:t>
      </w:r>
      <w:r>
        <w:rPr>
          <w:sz w:val="16"/>
        </w:rPr>
        <w:t>CG</w:t>
      </w:r>
      <w:r>
        <w:rPr>
          <w:i/>
          <w:sz w:val="16"/>
        </w:rPr>
        <w:t xml:space="preserve"> IV art. 16, 55, 56, artigo comum 3, PA I art. 10, PA II art. 7(2), 8, DIHC regras 109 a 110</w:t>
      </w:r>
      <w:r>
        <w:rPr>
          <w:sz w:val="16"/>
        </w:rPr>
        <w:t>,</w:t>
      </w:r>
    </w:p>
    <w:p w:rsidR="00611F06" w:rsidRDefault="00E82B1F" w:rsidP="00FE60E6">
      <w:pPr>
        <w:pStyle w:val="Corpsdetexte"/>
        <w:jc w:val="both"/>
        <w:rPr>
          <w:i/>
          <w:sz w:val="16"/>
        </w:rPr>
      </w:pPr>
      <w:r>
        <w:t>procurando, permitindo e facilitando a passagem de material médico, e garantindo a segurança dos profissionais de saúde CG</w:t>
      </w:r>
      <w:r>
        <w:rPr>
          <w:i/>
          <w:sz w:val="16"/>
        </w:rPr>
        <w:t xml:space="preserve"> IV art. 23, 50(5), 56, PA I</w:t>
      </w:r>
    </w:p>
    <w:p w:rsidR="00611F06" w:rsidRDefault="00E82B1F" w:rsidP="00FE60E6">
      <w:pPr>
        <w:spacing w:line="181" w:lineRule="exact"/>
        <w:jc w:val="both"/>
        <w:rPr>
          <w:i/>
          <w:sz w:val="16"/>
        </w:rPr>
      </w:pPr>
      <w:r>
        <w:rPr>
          <w:i/>
          <w:sz w:val="16"/>
        </w:rPr>
        <w:t>art. 12 a 17, PA II art. 9 e 10, DIHC</w:t>
      </w:r>
    </w:p>
    <w:p w:rsidR="00611F06" w:rsidRDefault="00E82B1F" w:rsidP="00FE60E6">
      <w:pPr>
        <w:jc w:val="both"/>
        <w:rPr>
          <w:sz w:val="16"/>
        </w:rPr>
      </w:pPr>
      <w:r>
        <w:rPr>
          <w:i/>
          <w:sz w:val="16"/>
        </w:rPr>
        <w:t>regra 56</w:t>
      </w:r>
      <w:r>
        <w:rPr>
          <w:sz w:val="16"/>
        </w:rPr>
        <w:t>.</w:t>
      </w:r>
    </w:p>
    <w:p w:rsidR="00611F06" w:rsidRDefault="00611F06" w:rsidP="00FE60E6">
      <w:pPr>
        <w:pStyle w:val="Corpsdetexte"/>
        <w:spacing w:before="3"/>
      </w:pPr>
    </w:p>
    <w:p w:rsidR="00611F06" w:rsidRDefault="00E82B1F" w:rsidP="00FE60E6">
      <w:pPr>
        <w:pStyle w:val="Corpsdetexte"/>
        <w:jc w:val="both"/>
        <w:rPr>
          <w:i/>
          <w:sz w:val="16"/>
        </w:rPr>
      </w:pPr>
      <w:r>
        <w:t>Quando necessário, as partes envolvidas em conflitos armados devem cumprir a sua obrigação de</w:t>
      </w:r>
      <w:r w:rsidR="002828CF">
        <w:t xml:space="preserve"> </w:t>
      </w:r>
      <w:r>
        <w:t xml:space="preserve">assegurar uma alimentação adequada, procurando, permitindo e facilitando a entrega de ajuda alimentar. </w:t>
      </w:r>
      <w:r>
        <w:rPr>
          <w:i/>
        </w:rPr>
        <w:t>CG</w:t>
      </w:r>
      <w:r>
        <w:rPr>
          <w:i/>
          <w:sz w:val="16"/>
        </w:rPr>
        <w:t xml:space="preserve"> IV art. 55 e 59, DIHC regra 56</w:t>
      </w:r>
      <w:r>
        <w:rPr>
          <w:i/>
        </w:rPr>
        <w:t xml:space="preserve">. </w:t>
      </w:r>
      <w:r>
        <w:t xml:space="preserve">Se as autoridades responsáveis não puderem cumprir estas normas, não devem comprometer a assistência humanitária de outros organismos humanitários imparciais. </w:t>
      </w:r>
      <w:r>
        <w:rPr>
          <w:i/>
          <w:sz w:val="16"/>
        </w:rPr>
        <w:t>CG IV art. 23 e 59, PA I art. 70 e 71, PA II art. 18(2), DIHC regra 55, TPI art.</w:t>
      </w:r>
    </w:p>
    <w:p w:rsidR="00611F06" w:rsidRDefault="00E82B1F" w:rsidP="00FE60E6">
      <w:pPr>
        <w:jc w:val="both"/>
        <w:rPr>
          <w:sz w:val="16"/>
        </w:rPr>
      </w:pPr>
      <w:r>
        <w:rPr>
          <w:i/>
          <w:sz w:val="16"/>
        </w:rPr>
        <w:t>8(2)(b)(iii) e (e)(iii)</w:t>
      </w:r>
      <w:r>
        <w:rPr>
          <w:sz w:val="16"/>
        </w:rPr>
        <w:t xml:space="preserve">. </w:t>
      </w:r>
      <w:r>
        <w:rPr>
          <w:sz w:val="18"/>
        </w:rPr>
        <w:t xml:space="preserve">A assistência destes agentes deve ser unicamente de caráter humanitário e imparcial e prestada sem qualquer distinção prejudicial. </w:t>
      </w:r>
      <w:r>
        <w:rPr>
          <w:sz w:val="16"/>
        </w:rPr>
        <w:t>PA</w:t>
      </w:r>
      <w:r>
        <w:rPr>
          <w:i/>
          <w:sz w:val="16"/>
        </w:rPr>
        <w:t xml:space="preserve"> I art. 70 e 71, e PA II art. 18(2)</w:t>
      </w:r>
      <w:r>
        <w:rPr>
          <w:sz w:val="16"/>
        </w:rPr>
        <w:t>.</w:t>
      </w:r>
    </w:p>
    <w:p w:rsidR="00611F06" w:rsidRDefault="00611F06" w:rsidP="00FE60E6">
      <w:pPr>
        <w:pStyle w:val="Corpsdetexte"/>
        <w:spacing w:before="6"/>
        <w:rPr>
          <w:sz w:val="17"/>
        </w:rPr>
      </w:pPr>
    </w:p>
    <w:p w:rsidR="00611F06" w:rsidRDefault="00E82B1F" w:rsidP="00FE60E6">
      <w:pPr>
        <w:pStyle w:val="Titre1"/>
        <w:ind w:left="0"/>
      </w:pPr>
      <w:r>
        <w:t>…Vida familiar</w:t>
      </w:r>
    </w:p>
    <w:p w:rsidR="00611F06" w:rsidRDefault="00E82B1F" w:rsidP="00FE60E6">
      <w:pPr>
        <w:pStyle w:val="Corpsdetexte"/>
        <w:jc w:val="both"/>
        <w:rPr>
          <w:i/>
          <w:sz w:val="16"/>
        </w:rPr>
      </w:pPr>
      <w:r>
        <w:t>A união das famílias deve ser protegida. Em situações de internamento ou detenção durante o conflito armado, e em campos ou outras instalações comunitárias, os membros da mesma família devem, por norma, ser acomodados juntos CG</w:t>
      </w:r>
      <w:r>
        <w:rPr>
          <w:i/>
          <w:sz w:val="16"/>
        </w:rPr>
        <w:t xml:space="preserve"> IV art. 82 (2) e (3). PA I art. 75 (5),</w:t>
      </w:r>
    </w:p>
    <w:p w:rsidR="00611F06" w:rsidRDefault="00E82B1F" w:rsidP="00FE60E6">
      <w:pPr>
        <w:jc w:val="both"/>
        <w:rPr>
          <w:sz w:val="18"/>
        </w:rPr>
      </w:pPr>
      <w:r>
        <w:rPr>
          <w:i/>
        </w:rPr>
        <w:t>DIHC regra</w:t>
      </w:r>
      <w:r>
        <w:rPr>
          <w:i/>
          <w:sz w:val="16"/>
        </w:rPr>
        <w:t xml:space="preserve"> 131</w:t>
      </w:r>
      <w:r>
        <w:rPr>
          <w:i/>
        </w:rPr>
        <w:t>.</w:t>
      </w:r>
      <w:r>
        <w:rPr>
          <w:i/>
          <w:sz w:val="18"/>
        </w:rPr>
        <w:t xml:space="preserve"> </w:t>
      </w:r>
      <w:r>
        <w:rPr>
          <w:sz w:val="18"/>
        </w:rPr>
        <w:t xml:space="preserve">Se os membros da mesma família forem separados, devem ser tomadas todas as medidas adequadas para facilitar a sua reunificação. </w:t>
      </w:r>
      <w:r>
        <w:t xml:space="preserve">CG </w:t>
      </w:r>
      <w:r>
        <w:rPr>
          <w:i/>
          <w:sz w:val="16"/>
        </w:rPr>
        <w:t>IV art. 26, 27 e 49, PA I art. 74, PA II 4(3)</w:t>
      </w:r>
      <w:r>
        <w:rPr>
          <w:sz w:val="18"/>
        </w:rPr>
        <w:t>.</w:t>
      </w:r>
    </w:p>
    <w:p w:rsidR="00611F06" w:rsidRDefault="00611F06" w:rsidP="00FE60E6">
      <w:pPr>
        <w:pStyle w:val="Corpsdetexte"/>
        <w:spacing w:before="7"/>
        <w:rPr>
          <w:sz w:val="17"/>
        </w:rPr>
      </w:pPr>
    </w:p>
    <w:p w:rsidR="00611F06" w:rsidRDefault="00E82B1F" w:rsidP="00FE60E6">
      <w:pPr>
        <w:pStyle w:val="Titre1"/>
        <w:spacing w:before="1"/>
        <w:ind w:left="0"/>
      </w:pPr>
      <w:r>
        <w:t>…Documentação</w:t>
      </w:r>
    </w:p>
    <w:p w:rsidR="00611F06" w:rsidRDefault="00E82B1F" w:rsidP="00FE60E6">
      <w:pPr>
        <w:pStyle w:val="Corpsdetexte"/>
        <w:jc w:val="both"/>
      </w:pPr>
      <w:r>
        <w:t>Todas as pessoas têm direito a um registo e um nome imediatamente após a nascença, sobretudo em situações de ocupação CG</w:t>
      </w:r>
      <w:r>
        <w:rPr>
          <w:i/>
          <w:sz w:val="16"/>
        </w:rPr>
        <w:t xml:space="preserve"> IV art. 50</w:t>
      </w:r>
      <w:r>
        <w:t xml:space="preserve">. Os estados são especificamente obrigados a assegurar que os grupos vulneráveis, como os refugiados e civis internados em territórios ocupados têm a documentação básica. </w:t>
      </w:r>
      <w:r>
        <w:rPr>
          <w:i/>
          <w:iCs/>
        </w:rPr>
        <w:t>CG</w:t>
      </w:r>
      <w:r>
        <w:rPr>
          <w:i/>
          <w:sz w:val="16"/>
        </w:rPr>
        <w:t xml:space="preserve"> IV art. 97(6)</w:t>
      </w:r>
      <w:r>
        <w:t>.</w:t>
      </w:r>
    </w:p>
    <w:p w:rsidR="00611F06" w:rsidRDefault="00611F06" w:rsidP="00FE60E6">
      <w:pPr>
        <w:pStyle w:val="Corpsdetexte"/>
        <w:spacing w:before="8"/>
        <w:rPr>
          <w:sz w:val="17"/>
        </w:rPr>
      </w:pPr>
    </w:p>
    <w:p w:rsidR="00611F06" w:rsidRDefault="00E82B1F" w:rsidP="00FE60E6">
      <w:pPr>
        <w:pStyle w:val="Titre1"/>
        <w:ind w:left="0"/>
        <w:jc w:val="both"/>
      </w:pPr>
      <w:r>
        <w:t>…Propriedade e posses</w:t>
      </w:r>
    </w:p>
    <w:p w:rsidR="00611F06" w:rsidRDefault="00E82B1F" w:rsidP="00FE60E6">
      <w:pPr>
        <w:jc w:val="both"/>
        <w:rPr>
          <w:sz w:val="18"/>
        </w:rPr>
      </w:pPr>
      <w:r>
        <w:rPr>
          <w:sz w:val="18"/>
        </w:rPr>
        <w:t xml:space="preserve">Em situações de conflito armado, a propriedade e posses de civis não devem ser alvo de pilhagem </w:t>
      </w:r>
      <w:r>
        <w:t>CG</w:t>
      </w:r>
      <w:r>
        <w:rPr>
          <w:i/>
          <w:sz w:val="16"/>
        </w:rPr>
        <w:t xml:space="preserve"> IV art. 33, DIHC regra 52, nem de ataques diretos ou indiscriminados</w:t>
      </w:r>
      <w:r>
        <w:rPr>
          <w:sz w:val="18"/>
        </w:rPr>
        <w:t xml:space="preserve"> </w:t>
      </w:r>
      <w:r>
        <w:rPr>
          <w:i/>
        </w:rPr>
        <w:t>PA</w:t>
      </w:r>
      <w:r>
        <w:rPr>
          <w:i/>
          <w:sz w:val="16"/>
        </w:rPr>
        <w:t xml:space="preserve"> I art. 85</w:t>
      </w:r>
      <w:r>
        <w:rPr>
          <w:i/>
          <w:sz w:val="18"/>
        </w:rPr>
        <w:t>, DIHC regra 11, nem utilizados como escudo</w:t>
      </w:r>
      <w:r>
        <w:rPr>
          <w:sz w:val="18"/>
        </w:rPr>
        <w:t xml:space="preserve"> ou objetivos para operações militares </w:t>
      </w:r>
      <w:r>
        <w:rPr>
          <w:i/>
          <w:iCs/>
          <w:sz w:val="18"/>
        </w:rPr>
        <w:t>PA</w:t>
      </w:r>
      <w:r>
        <w:rPr>
          <w:i/>
          <w:sz w:val="18"/>
        </w:rPr>
        <w:t xml:space="preserve"> I art. 51, </w:t>
      </w:r>
      <w:r>
        <w:rPr>
          <w:sz w:val="18"/>
        </w:rPr>
        <w:t xml:space="preserve">ou para destruição ou apropriação como represália </w:t>
      </w:r>
      <w:r>
        <w:rPr>
          <w:i/>
          <w:iCs/>
          <w:sz w:val="18"/>
        </w:rPr>
        <w:t>PA</w:t>
      </w:r>
      <w:r>
        <w:rPr>
          <w:i/>
          <w:sz w:val="18"/>
        </w:rPr>
        <w:t xml:space="preserve"> I art. 52 </w:t>
      </w:r>
      <w:r>
        <w:rPr>
          <w:sz w:val="18"/>
        </w:rPr>
        <w:t xml:space="preserve">ou castigo coletivo </w:t>
      </w:r>
      <w:r>
        <w:rPr>
          <w:i/>
          <w:iCs/>
          <w:sz w:val="18"/>
        </w:rPr>
        <w:t>PA</w:t>
      </w:r>
      <w:r>
        <w:rPr>
          <w:i/>
          <w:sz w:val="18"/>
        </w:rPr>
        <w:t xml:space="preserve"> I art. 75(2) d)</w:t>
      </w:r>
      <w:r>
        <w:rPr>
          <w:sz w:val="18"/>
        </w:rPr>
        <w:t>. Em qualquer situação, a propriedade e as posses devem ser protegidas da destruição ou apropriação, ocupação e uso arbitrário e ilegal.</w:t>
      </w:r>
    </w:p>
    <w:p w:rsidR="00611F06" w:rsidRDefault="00E82B1F" w:rsidP="00FE60E6">
      <w:pPr>
        <w:pStyle w:val="Corpsdetexte"/>
        <w:spacing w:before="1"/>
        <w:jc w:val="both"/>
      </w:pPr>
      <w:r>
        <w:t xml:space="preserve">A habitação não está especificamente prevista na proteção de pessoas protegidas, ao abrigo das Convenções de Genebra e Protocolos Adicionais. Porém, a destruição e a apropriação maciças de habitações é proibida </w:t>
      </w:r>
      <w:r>
        <w:rPr>
          <w:i/>
          <w:iCs/>
        </w:rPr>
        <w:t>CG</w:t>
      </w:r>
      <w:r>
        <w:rPr>
          <w:i/>
          <w:sz w:val="16"/>
        </w:rPr>
        <w:t xml:space="preserve"> IV art. 147</w:t>
      </w:r>
      <w:r>
        <w:t>.</w:t>
      </w:r>
    </w:p>
    <w:p w:rsidR="00611F06" w:rsidRDefault="00611F06" w:rsidP="00FE60E6">
      <w:pPr>
        <w:pStyle w:val="Corpsdetexte"/>
      </w:pPr>
    </w:p>
    <w:p w:rsidR="00611F06" w:rsidRDefault="00E82B1F" w:rsidP="00FE60E6">
      <w:pPr>
        <w:pStyle w:val="Corpsdetexte"/>
        <w:ind w:firstLine="50"/>
        <w:jc w:val="both"/>
      </w:pPr>
      <w:r>
        <w:t>A obrigação de transferir as pessoas retiradas em ou a partir de territórios ocupados de volta às suas casas,</w:t>
      </w:r>
      <w:r w:rsidR="00E23699">
        <w:t xml:space="preserve"> </w:t>
      </w:r>
      <w:r>
        <w:t>assim que cessarem as hostilidades nessa região, implica o direito a recuperar a sua propriedade. Mais especificamente, os direitos de propriedade das pessoas deslocadas devem ser respeitados. DIHC regra</w:t>
      </w:r>
      <w:r>
        <w:rPr>
          <w:i/>
        </w:rPr>
        <w:t xml:space="preserve"> 133</w:t>
      </w:r>
      <w:r>
        <w:t>.</w:t>
      </w:r>
    </w:p>
    <w:p w:rsidR="00611F06" w:rsidRDefault="00611F06" w:rsidP="00FE60E6">
      <w:pPr>
        <w:pStyle w:val="Corpsdetexte"/>
        <w:spacing w:before="3"/>
      </w:pPr>
    </w:p>
    <w:p w:rsidR="00611F06" w:rsidRDefault="00E82B1F" w:rsidP="00FE60E6">
      <w:pPr>
        <w:pStyle w:val="Titre1"/>
        <w:ind w:left="0"/>
      </w:pPr>
      <w:r>
        <w:t>…Emprego e proteção social</w:t>
      </w:r>
    </w:p>
    <w:p w:rsidR="00611F06" w:rsidRDefault="00E82B1F" w:rsidP="00FE60E6">
      <w:pPr>
        <w:tabs>
          <w:tab w:val="left" w:pos="761"/>
          <w:tab w:val="left" w:pos="1641"/>
        </w:tabs>
        <w:rPr>
          <w:i/>
          <w:sz w:val="16"/>
        </w:rPr>
      </w:pPr>
      <w:r>
        <w:rPr>
          <w:sz w:val="18"/>
        </w:rPr>
        <w:t xml:space="preserve">As cláusulas gerais de não discriminação do DIH </w:t>
      </w:r>
      <w:r>
        <w:t>CG</w:t>
      </w:r>
      <w:r>
        <w:rPr>
          <w:i/>
          <w:sz w:val="16"/>
        </w:rPr>
        <w:t xml:space="preserve"> IV art. 27, PA I art.</w:t>
      </w:r>
    </w:p>
    <w:p w:rsidR="00611F06" w:rsidRDefault="00E82B1F" w:rsidP="00FE60E6">
      <w:pPr>
        <w:pStyle w:val="Corpsdetexte"/>
        <w:jc w:val="both"/>
        <w:rPr>
          <w:i/>
        </w:rPr>
      </w:pPr>
      <w:r>
        <w:rPr>
          <w:i/>
          <w:sz w:val="16"/>
        </w:rPr>
        <w:t xml:space="preserve">75 (1) </w:t>
      </w:r>
      <w:r>
        <w:t xml:space="preserve">aplicáveis durante o conflito armado também se aplicam às áreas de emprego, atividades económicas e segurança social. Devem ser respeitados os padrões mínimos de condições de trabalho em certas categorias ou pessoas que são forçadas a trabalhar durante situações de conflito armado. </w:t>
      </w:r>
      <w:r>
        <w:rPr>
          <w:i/>
        </w:rPr>
        <w:t>CG</w:t>
      </w:r>
      <w:r>
        <w:rPr>
          <w:i/>
          <w:sz w:val="16"/>
        </w:rPr>
        <w:t xml:space="preserve"> IV art. 40</w:t>
      </w:r>
      <w:r>
        <w:rPr>
          <w:i/>
        </w:rPr>
        <w:t xml:space="preserve">. </w:t>
      </w:r>
      <w:r>
        <w:t xml:space="preserve">O direito internacional humanitário consuetudinário também proíbe o trabalho forçado sem direito a remuneração ou abusivo </w:t>
      </w:r>
      <w:r>
        <w:rPr>
          <w:i/>
        </w:rPr>
        <w:t>PA</w:t>
      </w:r>
      <w:r>
        <w:rPr>
          <w:i/>
          <w:sz w:val="16"/>
        </w:rPr>
        <w:t xml:space="preserve"> II art. 4(2)(F), DIHC regra 95</w:t>
      </w:r>
      <w:r>
        <w:rPr>
          <w:i/>
        </w:rPr>
        <w:t>.</w:t>
      </w:r>
    </w:p>
    <w:p w:rsidR="00611F06" w:rsidRDefault="00611F06" w:rsidP="00FE60E6">
      <w:pPr>
        <w:pStyle w:val="Corpsdetexte"/>
        <w:spacing w:before="7"/>
        <w:rPr>
          <w:i/>
          <w:sz w:val="17"/>
        </w:rPr>
      </w:pPr>
    </w:p>
    <w:p w:rsidR="00611F06" w:rsidRDefault="00E82B1F" w:rsidP="00FE60E6">
      <w:pPr>
        <w:pStyle w:val="Titre1"/>
        <w:ind w:left="0"/>
      </w:pPr>
      <w:r>
        <w:t>…Educação</w:t>
      </w:r>
    </w:p>
    <w:p w:rsidR="00611F06" w:rsidRDefault="00E82B1F" w:rsidP="00FE60E6">
      <w:pPr>
        <w:pStyle w:val="Corpsdetexte"/>
        <w:jc w:val="both"/>
        <w:rPr>
          <w:i/>
        </w:rPr>
      </w:pPr>
      <w:r>
        <w:t xml:space="preserve">Em situações de conflito armado internacional, as partes envolvidas no mesmo devem tomar as medidas necessárias para assegurar que as crianças com idade inferior a 15 anos, órfãs ou que estão separadas das famílias como resultado da guerra não são deixadas por sua própria conta e que a sua educação é facilitada em todas as circunstâncias </w:t>
      </w:r>
      <w:r>
        <w:rPr>
          <w:i/>
          <w:iCs/>
        </w:rPr>
        <w:t>CG</w:t>
      </w:r>
      <w:r>
        <w:rPr>
          <w:i/>
          <w:sz w:val="16"/>
        </w:rPr>
        <w:t xml:space="preserve"> IV, art. 24(1)</w:t>
      </w:r>
      <w:r>
        <w:t xml:space="preserve">. As forças ocupantes devem também facilitar o funcionamento de estabelecimentos de ensino em territórios ocupados </w:t>
      </w:r>
      <w:r>
        <w:rPr>
          <w:i/>
        </w:rPr>
        <w:t>CG</w:t>
      </w:r>
      <w:r>
        <w:rPr>
          <w:i/>
          <w:sz w:val="16"/>
        </w:rPr>
        <w:t xml:space="preserve"> IV, art. 50(1)</w:t>
      </w:r>
      <w:r>
        <w:rPr>
          <w:i/>
        </w:rPr>
        <w:t xml:space="preserve">. </w:t>
      </w:r>
      <w:r>
        <w:t xml:space="preserve">Em situações de conflito armado não internacional, as crianças devem receber educação, incluindo religiosa e moral </w:t>
      </w:r>
      <w:r>
        <w:rPr>
          <w:i/>
        </w:rPr>
        <w:t>PA</w:t>
      </w:r>
      <w:r>
        <w:rPr>
          <w:i/>
          <w:sz w:val="16"/>
        </w:rPr>
        <w:t xml:space="preserve"> II art. 4(3)(a), 28(2)</w:t>
      </w:r>
      <w:r>
        <w:rPr>
          <w:i/>
        </w:rPr>
        <w:t>.</w:t>
      </w:r>
    </w:p>
    <w:p w:rsidR="00611F06" w:rsidRDefault="00611F06" w:rsidP="00FE60E6">
      <w:pPr>
        <w:pStyle w:val="Corpsdetexte"/>
        <w:spacing w:before="7"/>
        <w:rPr>
          <w:i/>
          <w:sz w:val="17"/>
        </w:rPr>
      </w:pPr>
    </w:p>
    <w:p w:rsidR="00611F06" w:rsidRDefault="00E82B1F" w:rsidP="00FE60E6">
      <w:pPr>
        <w:pStyle w:val="Titre1"/>
        <w:spacing w:before="1"/>
        <w:ind w:left="0"/>
      </w:pPr>
      <w:r>
        <w:t>…Proibição de recrutamento forçado de crianças</w:t>
      </w:r>
    </w:p>
    <w:p w:rsidR="00611F06" w:rsidRDefault="00611F06" w:rsidP="00FE60E6">
      <w:pPr>
        <w:pStyle w:val="Corpsdetexte"/>
        <w:spacing w:before="2"/>
        <w:rPr>
          <w:b/>
        </w:rPr>
      </w:pPr>
    </w:p>
    <w:p w:rsidR="008F78A8" w:rsidRDefault="00E82B1F" w:rsidP="008F78A8">
      <w:pPr>
        <w:pStyle w:val="Corpsdetexte"/>
        <w:spacing w:before="1"/>
        <w:jc w:val="both"/>
      </w:pPr>
      <w:r>
        <w:t xml:space="preserve">Como resultado da deslocação, as crianças ficam especialmente vulneráveis ao recrutamento forçado para forças ou grupos armados. O DIH proíbe o recrutamento forçado de crianças com idade inferior a 15 anos </w:t>
      </w:r>
      <w:r>
        <w:rPr>
          <w:i/>
          <w:iCs/>
        </w:rPr>
        <w:t>PA</w:t>
      </w:r>
      <w:r>
        <w:t xml:space="preserve"> </w:t>
      </w:r>
      <w:r>
        <w:rPr>
          <w:i/>
          <w:sz w:val="16"/>
        </w:rPr>
        <w:t>I art. 77(2), PA II art. 4(3), DIHC regra 136</w:t>
      </w:r>
      <w:r>
        <w:rPr>
          <w:rStyle w:val="Appelnotedebasdep"/>
          <w:i/>
          <w:sz w:val="16"/>
        </w:rPr>
        <w:footnoteReference w:id="3"/>
      </w:r>
      <w:r>
        <w:t>. Estas não devem ser forçadas, nem permitida a sua participação em atos de hostilidade. As pessoas com idade superior a 15 anos não devem ser alvo de práticas discriminatórias de recrutamento, como resultado da sua deslocação.</w:t>
      </w:r>
    </w:p>
    <w:p w:rsidR="00611F06" w:rsidRDefault="00E82B1F" w:rsidP="008F78A8">
      <w:pPr>
        <w:pStyle w:val="Corpsdetexte"/>
        <w:spacing w:before="1"/>
        <w:ind w:left="1440" w:firstLine="720"/>
        <w:jc w:val="both"/>
        <w:rPr>
          <w:i/>
          <w:sz w:val="23"/>
        </w:rPr>
      </w:pPr>
      <w:r>
        <w:rPr>
          <w:i/>
        </w:rPr>
        <w:t>03/2010</w:t>
      </w:r>
    </w:p>
    <w:sectPr w:rsidR="00611F06">
      <w:pgSz w:w="11910" w:h="16840"/>
      <w:pgMar w:top="1040" w:right="680" w:bottom="280" w:left="680" w:header="708" w:footer="708" w:gutter="0"/>
      <w:cols w:num="3" w:space="708" w:equalWidth="0">
        <w:col w:w="3146" w:space="490"/>
        <w:col w:w="3145" w:space="493"/>
        <w:col w:w="3276"/>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1B4F" w:rsidRDefault="005C1B4F" w:rsidP="005C1B4F">
      <w:r>
        <w:separator/>
      </w:r>
    </w:p>
  </w:endnote>
  <w:endnote w:type="continuationSeparator" w:id="0">
    <w:p w:rsidR="005C1B4F" w:rsidRDefault="005C1B4F" w:rsidP="005C1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1B4F" w:rsidRDefault="005C1B4F" w:rsidP="005C1B4F">
      <w:r>
        <w:separator/>
      </w:r>
    </w:p>
  </w:footnote>
  <w:footnote w:type="continuationSeparator" w:id="0">
    <w:p w:rsidR="005C1B4F" w:rsidRDefault="005C1B4F" w:rsidP="005C1B4F">
      <w:r>
        <w:continuationSeparator/>
      </w:r>
    </w:p>
  </w:footnote>
  <w:footnote w:id="1">
    <w:p w:rsidR="005C1B4F" w:rsidRPr="005C1B4F" w:rsidRDefault="005C1B4F" w:rsidP="005C1B4F">
      <w:pPr>
        <w:spacing w:before="61"/>
        <w:ind w:left="172" w:right="326"/>
        <w:rPr>
          <w:rFonts w:ascii="Times New Roman"/>
          <w:sz w:val="16"/>
        </w:rPr>
      </w:pPr>
      <w:r>
        <w:rPr>
          <w:rStyle w:val="Appelnotedebasdep"/>
        </w:rPr>
        <w:footnoteRef/>
      </w:r>
      <w:r>
        <w:t xml:space="preserve"> </w:t>
      </w:r>
      <w:r>
        <w:rPr>
          <w:rFonts w:ascii="Times New Roman"/>
          <w:sz w:val="16"/>
        </w:rPr>
        <w:t>Princ</w:t>
      </w:r>
      <w:r>
        <w:rPr>
          <w:rFonts w:ascii="Times New Roman"/>
          <w:sz w:val="16"/>
        </w:rPr>
        <w:t>í</w:t>
      </w:r>
      <w:r>
        <w:rPr>
          <w:rFonts w:ascii="Times New Roman"/>
          <w:sz w:val="16"/>
        </w:rPr>
        <w:t>pios Orientadores sobre as Desloca</w:t>
      </w:r>
      <w:r>
        <w:rPr>
          <w:rFonts w:ascii="Times New Roman"/>
          <w:sz w:val="16"/>
        </w:rPr>
        <w:t>çõ</w:t>
      </w:r>
      <w:r>
        <w:rPr>
          <w:rFonts w:ascii="Times New Roman"/>
          <w:sz w:val="16"/>
        </w:rPr>
        <w:t>es Internas, E/CN.4/1998/53/Adit. l, 11 de fevereiro de 1998. Nova Iorque: Na</w:t>
      </w:r>
      <w:r>
        <w:rPr>
          <w:rFonts w:ascii="Times New Roman"/>
          <w:sz w:val="16"/>
        </w:rPr>
        <w:t>çõ</w:t>
      </w:r>
      <w:r>
        <w:rPr>
          <w:rFonts w:ascii="Times New Roman"/>
          <w:sz w:val="16"/>
        </w:rPr>
        <w:t>es Unidas.</w:t>
      </w:r>
    </w:p>
  </w:footnote>
  <w:footnote w:id="2">
    <w:p w:rsidR="005C1B4F" w:rsidRPr="005C1B4F" w:rsidRDefault="005C1B4F" w:rsidP="005C1B4F">
      <w:pPr>
        <w:spacing w:before="61"/>
        <w:ind w:left="171" w:right="44"/>
        <w:rPr>
          <w:rFonts w:ascii="Times New Roman"/>
          <w:sz w:val="16"/>
        </w:rPr>
      </w:pPr>
      <w:r>
        <w:rPr>
          <w:rStyle w:val="Appelnotedebasdep"/>
        </w:rPr>
        <w:footnoteRef/>
      </w:r>
      <w:r>
        <w:t xml:space="preserve"> </w:t>
      </w:r>
      <w:r>
        <w:rPr>
          <w:rFonts w:ascii="Times New Roman"/>
          <w:sz w:val="16"/>
        </w:rPr>
        <w:t>Conven</w:t>
      </w:r>
      <w:r>
        <w:rPr>
          <w:rFonts w:ascii="Times New Roman"/>
          <w:sz w:val="16"/>
        </w:rPr>
        <w:t>çã</w:t>
      </w:r>
      <w:r>
        <w:rPr>
          <w:rFonts w:ascii="Times New Roman"/>
          <w:sz w:val="16"/>
        </w:rPr>
        <w:t>o da Uni</w:t>
      </w:r>
      <w:r>
        <w:rPr>
          <w:rFonts w:ascii="Times New Roman"/>
          <w:sz w:val="16"/>
        </w:rPr>
        <w:t>ã</w:t>
      </w:r>
      <w:r>
        <w:rPr>
          <w:rFonts w:ascii="Times New Roman"/>
          <w:sz w:val="16"/>
        </w:rPr>
        <w:t>o Africana para Prote</w:t>
      </w:r>
      <w:r>
        <w:rPr>
          <w:rFonts w:ascii="Times New Roman"/>
          <w:sz w:val="16"/>
        </w:rPr>
        <w:t>çã</w:t>
      </w:r>
      <w:r>
        <w:rPr>
          <w:rFonts w:ascii="Times New Roman"/>
          <w:sz w:val="16"/>
        </w:rPr>
        <w:t>o e Assist</w:t>
      </w:r>
      <w:r>
        <w:rPr>
          <w:rFonts w:ascii="Times New Roman"/>
          <w:sz w:val="16"/>
        </w:rPr>
        <w:t>ê</w:t>
      </w:r>
      <w:r>
        <w:rPr>
          <w:rFonts w:ascii="Times New Roman"/>
          <w:sz w:val="16"/>
        </w:rPr>
        <w:t xml:space="preserve">ncia a Pessoas Deslocadas Internamente em </w:t>
      </w:r>
      <w:r>
        <w:rPr>
          <w:rFonts w:ascii="Times New Roman"/>
          <w:sz w:val="16"/>
        </w:rPr>
        <w:t>Á</w:t>
      </w:r>
      <w:r>
        <w:rPr>
          <w:rFonts w:ascii="Times New Roman"/>
          <w:sz w:val="16"/>
        </w:rPr>
        <w:t>frica (Conven</w:t>
      </w:r>
      <w:r>
        <w:rPr>
          <w:rFonts w:ascii="Times New Roman"/>
          <w:sz w:val="16"/>
        </w:rPr>
        <w:t>çã</w:t>
      </w:r>
      <w:r>
        <w:rPr>
          <w:rFonts w:ascii="Times New Roman"/>
          <w:sz w:val="16"/>
        </w:rPr>
        <w:t>o de Kampala). Adotada pela Cimeira Especial da Uni</w:t>
      </w:r>
      <w:r>
        <w:rPr>
          <w:rFonts w:ascii="Times New Roman"/>
          <w:sz w:val="16"/>
        </w:rPr>
        <w:t>ã</w:t>
      </w:r>
      <w:r>
        <w:rPr>
          <w:rFonts w:ascii="Times New Roman"/>
          <w:sz w:val="16"/>
        </w:rPr>
        <w:t>o Africana que teve lugar em Kampala, a 22 de outubro de 2009.</w:t>
      </w:r>
    </w:p>
  </w:footnote>
  <w:footnote w:id="3">
    <w:p w:rsidR="00E82B1F" w:rsidRDefault="00E82B1F" w:rsidP="00E82B1F">
      <w:pPr>
        <w:spacing w:before="33" w:line="244" w:lineRule="auto"/>
        <w:ind w:left="172" w:right="289"/>
        <w:rPr>
          <w:rFonts w:ascii="Times New Roman"/>
          <w:sz w:val="16"/>
        </w:rPr>
      </w:pPr>
      <w:r>
        <w:rPr>
          <w:rStyle w:val="Appelnotedebasdep"/>
        </w:rPr>
        <w:footnoteRef/>
      </w:r>
      <w:r>
        <w:t xml:space="preserve"> </w:t>
      </w:r>
      <w:r>
        <w:rPr>
          <w:rFonts w:ascii="Times New Roman"/>
          <w:sz w:val="16"/>
        </w:rPr>
        <w:t xml:space="preserve">O Protocolo Facultativo </w:t>
      </w:r>
      <w:r>
        <w:rPr>
          <w:rFonts w:ascii="Times New Roman"/>
          <w:sz w:val="16"/>
        </w:rPr>
        <w:t>à</w:t>
      </w:r>
      <w:r>
        <w:rPr>
          <w:rFonts w:ascii="Times New Roman"/>
          <w:sz w:val="16"/>
        </w:rPr>
        <w:t xml:space="preserve"> Conven</w:t>
      </w:r>
      <w:r>
        <w:rPr>
          <w:rFonts w:ascii="Times New Roman"/>
          <w:sz w:val="16"/>
        </w:rPr>
        <w:t>çã</w:t>
      </w:r>
      <w:r>
        <w:rPr>
          <w:rFonts w:ascii="Times New Roman"/>
          <w:sz w:val="16"/>
        </w:rPr>
        <w:t>o sobre os Direitos da Crian</w:t>
      </w:r>
      <w:r>
        <w:rPr>
          <w:rFonts w:ascii="Times New Roman"/>
          <w:sz w:val="16"/>
        </w:rPr>
        <w:t>ç</w:t>
      </w:r>
      <w:r>
        <w:rPr>
          <w:rFonts w:ascii="Times New Roman"/>
          <w:sz w:val="16"/>
        </w:rPr>
        <w:t xml:space="preserve">a relativo </w:t>
      </w:r>
      <w:r>
        <w:rPr>
          <w:rFonts w:ascii="Times New Roman"/>
          <w:sz w:val="16"/>
        </w:rPr>
        <w:t>à</w:t>
      </w:r>
      <w:r>
        <w:rPr>
          <w:rFonts w:ascii="Times New Roman"/>
          <w:sz w:val="16"/>
        </w:rPr>
        <w:t xml:space="preserve"> Participa</w:t>
      </w:r>
      <w:r>
        <w:rPr>
          <w:rFonts w:ascii="Times New Roman"/>
          <w:sz w:val="16"/>
        </w:rPr>
        <w:t>çã</w:t>
      </w:r>
      <w:r>
        <w:rPr>
          <w:rFonts w:ascii="Times New Roman"/>
          <w:sz w:val="16"/>
        </w:rPr>
        <w:t>o de Crian</w:t>
      </w:r>
      <w:r>
        <w:rPr>
          <w:rFonts w:ascii="Times New Roman"/>
          <w:sz w:val="16"/>
        </w:rPr>
        <w:t>ç</w:t>
      </w:r>
      <w:r>
        <w:rPr>
          <w:rFonts w:ascii="Times New Roman"/>
          <w:sz w:val="16"/>
        </w:rPr>
        <w:t>as em Conflitos Armados aumenta esta idade para 18 anos, art. 2.</w:t>
      </w:r>
    </w:p>
    <w:p w:rsidR="00E82B1F" w:rsidRPr="00E82B1F" w:rsidRDefault="00E82B1F">
      <w:pPr>
        <w:pStyle w:val="Notedebasdepage"/>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611F06"/>
    <w:rsid w:val="0006613A"/>
    <w:rsid w:val="002332CA"/>
    <w:rsid w:val="002828CF"/>
    <w:rsid w:val="005C1B4F"/>
    <w:rsid w:val="00611F06"/>
    <w:rsid w:val="008F78A8"/>
    <w:rsid w:val="00C3688D"/>
    <w:rsid w:val="00E23699"/>
    <w:rsid w:val="00E82B1F"/>
    <w:rsid w:val="00EE1FD3"/>
    <w:rsid w:val="00FE60E6"/>
  </w:rsids>
  <m:mathPr>
    <m:mathFont m:val="Cambria Math"/>
    <m:brkBin m:val="before"/>
    <m:brkBinSub m:val="--"/>
    <m:smallFrac m:val="0"/>
    <m:dispDef/>
    <m:lMargin m:val="0"/>
    <m:rMargin m:val="0"/>
    <m:defJc m:val="centerGroup"/>
    <m:wrapIndent m:val="1440"/>
    <m:intLim m:val="subSup"/>
    <m:naryLim m:val="undOvr"/>
  </m:mathPr>
  <w:themeFontLang w:val="nl-BE" w:bidi="ar-SA"/>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B5320838-10D2-4F38-BB0E-DEECA6C80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Titre1">
    <w:name w:val="heading 1"/>
    <w:basedOn w:val="Normal"/>
    <w:uiPriority w:val="9"/>
    <w:qFormat/>
    <w:pPr>
      <w:ind w:left="172"/>
      <w:outlineLvl w:val="0"/>
    </w:pPr>
    <w:rPr>
      <w:b/>
      <w:b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18"/>
      <w:szCs w:val="18"/>
    </w:rPr>
  </w:style>
  <w:style w:type="paragraph" w:styleId="Titre">
    <w:name w:val="Title"/>
    <w:basedOn w:val="Normal"/>
    <w:uiPriority w:val="10"/>
    <w:qFormat/>
    <w:pPr>
      <w:spacing w:before="34"/>
      <w:ind w:left="3575" w:right="831" w:hanging="2679"/>
    </w:pPr>
    <w:rPr>
      <w:b/>
      <w:bCs/>
      <w:sz w:val="40"/>
      <w:szCs w:val="40"/>
    </w:rPr>
  </w:style>
  <w:style w:type="paragraph" w:styleId="Paragraphedeliste">
    <w:name w:val="List Paragraph"/>
    <w:basedOn w:val="Normal"/>
    <w:uiPriority w:val="1"/>
    <w:qFormat/>
  </w:style>
  <w:style w:type="paragraph" w:customStyle="1" w:styleId="TableParagraph">
    <w:name w:val="Table Paragraph"/>
    <w:basedOn w:val="Normal"/>
    <w:uiPriority w:val="1"/>
    <w:qFormat/>
  </w:style>
  <w:style w:type="paragraph" w:styleId="Notedebasdepage">
    <w:name w:val="footnote text"/>
    <w:basedOn w:val="Normal"/>
    <w:link w:val="NotedebasdepageCar"/>
    <w:uiPriority w:val="99"/>
    <w:semiHidden/>
    <w:unhideWhenUsed/>
    <w:rsid w:val="005C1B4F"/>
    <w:rPr>
      <w:sz w:val="20"/>
      <w:szCs w:val="20"/>
    </w:rPr>
  </w:style>
  <w:style w:type="character" w:customStyle="1" w:styleId="NotedebasdepageCar">
    <w:name w:val="Note de bas de page Car"/>
    <w:basedOn w:val="Policepardfaut"/>
    <w:link w:val="Notedebasdepage"/>
    <w:uiPriority w:val="99"/>
    <w:semiHidden/>
    <w:rsid w:val="005C1B4F"/>
    <w:rPr>
      <w:rFonts w:ascii="Arial" w:eastAsia="Arial" w:hAnsi="Arial" w:cs="Arial"/>
      <w:sz w:val="20"/>
      <w:szCs w:val="20"/>
    </w:rPr>
  </w:style>
  <w:style w:type="character" w:styleId="Appelnotedebasdep">
    <w:name w:val="footnote reference"/>
    <w:basedOn w:val="Policepardfaut"/>
    <w:uiPriority w:val="99"/>
    <w:semiHidden/>
    <w:unhideWhenUsed/>
    <w:rsid w:val="005C1B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26C87-2EB3-4100-83F6-ACC405C27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1763</Words>
  <Characters>9698</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Internally Displaced Persons and International</vt:lpstr>
    </vt:vector>
  </TitlesOfParts>
  <Company/>
  <LinksUpToDate>false</LinksUpToDate>
  <CharactersWithSpaces>11439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Internally Displaced Persons and International</dc:title>
  <dc:creator>International Committee of the Red Cross</dc:creator>
  <cp:lastModifiedBy>Caroline Debauche</cp:lastModifiedBy>
  <cp:revision>2</cp:revision>
  <dcterms:created xsi:type="dcterms:W3CDTF">2021-01-20T16:17:00Z</dcterms:created>
  <dcterms:modified xsi:type="dcterms:W3CDTF">2021-01-20T16:17:00Z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2015-12-04T00:00:00Z</vt:filetime>
  </property>
  <property fmtid="{D5CDD505-2E9C-101B-9397-08002B2CF9AE}" pid="3" name="LastSaved">
    <vt:filetime>2020-12-03T00:00:00Z</vt:filetime>
  </property>
</Properties>
</file>